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49F" w:rsidRPr="00641E07" w:rsidRDefault="001F049F" w:rsidP="00641E07">
      <w:pPr>
        <w:rPr>
          <w:rFonts w:ascii="Times New Roman" w:hAnsi="Times New Roman" w:cs="Times New Roman"/>
        </w:rPr>
      </w:pPr>
    </w:p>
    <w:p w:rsidR="009B18D3" w:rsidRPr="00641E07" w:rsidRDefault="006C2CB3" w:rsidP="00641E07">
      <w:pPr>
        <w:rPr>
          <w:rFonts w:ascii="Times New Roman" w:eastAsiaTheme="majorEastAsia" w:hAnsi="Times New Roman" w:cs="Times New Roman"/>
          <w:sz w:val="28"/>
          <w:szCs w:val="28"/>
        </w:rPr>
      </w:pPr>
      <w:r w:rsidRPr="00641E07">
        <w:rPr>
          <w:rFonts w:ascii="Times New Roman" w:hAnsi="Times New Roman" w:cs="Times New Roman"/>
        </w:rPr>
        <w:t>Európsky menový systém</w:t>
      </w:r>
    </w:p>
    <w:p w:rsidR="009B18D3" w:rsidRPr="00641E07" w:rsidRDefault="006C2CB3" w:rsidP="00641E07">
      <w:pPr>
        <w:rPr>
          <w:rFonts w:ascii="Times New Roman" w:hAnsi="Times New Roman" w:cs="Times New Roman"/>
        </w:rPr>
      </w:pPr>
      <w:r w:rsidRPr="00641E07">
        <w:rPr>
          <w:rFonts w:ascii="Times New Roman" w:hAnsi="Times New Roman" w:cs="Times New Roman"/>
        </w:rPr>
        <w:t>Európsky menový systém začal fungovať 13. marca 1979. Členskými krajinami sa stali členské krajiny Európskeho spoločenstva NSR, Francúzsko, Taliansko, krajiny Beneluxu, Veľká Británia, Dánsko, Írsko. Postupne sa do systému zapojili aj nové členské krajiny – Grécko v roku 1984 a Španielsko s Portugalskom v roku 1986. Veľkú Britániu však možno v skutočnosti považovať za člena Európskeho menového systému až od roku 1990, kedy sa pripojila ku kurzovému mechanizmu EMS.</w:t>
      </w:r>
    </w:p>
    <w:p w:rsidR="009B18D3" w:rsidRPr="00641E07" w:rsidRDefault="006C2CB3" w:rsidP="00641E07">
      <w:pPr>
        <w:rPr>
          <w:rFonts w:ascii="Times New Roman" w:hAnsi="Times New Roman" w:cs="Times New Roman"/>
        </w:rPr>
      </w:pPr>
      <w:r w:rsidRPr="00641E07">
        <w:rPr>
          <w:rFonts w:ascii="Times New Roman" w:hAnsi="Times New Roman" w:cs="Times New Roman"/>
        </w:rPr>
        <w:t>Koncepcia EMS spočívala vo vytvorení:</w:t>
      </w:r>
    </w:p>
    <w:p w:rsidR="009B18D3" w:rsidRPr="00641E07" w:rsidRDefault="006C2CB3" w:rsidP="00641E07">
      <w:pPr>
        <w:rPr>
          <w:rFonts w:ascii="Times New Roman" w:hAnsi="Times New Roman" w:cs="Times New Roman"/>
        </w:rPr>
      </w:pPr>
      <w:r w:rsidRPr="00641E07">
        <w:rPr>
          <w:rFonts w:ascii="Times New Roman" w:hAnsi="Times New Roman" w:cs="Times New Roman"/>
        </w:rPr>
        <w:t>samostatnej zúčtovacej menovej jednotky ECU (</w:t>
      </w:r>
      <w:proofErr w:type="spellStart"/>
      <w:r w:rsidRPr="00641E07">
        <w:rPr>
          <w:rFonts w:ascii="Times New Roman" w:hAnsi="Times New Roman" w:cs="Times New Roman"/>
        </w:rPr>
        <w:t>European</w:t>
      </w:r>
      <w:proofErr w:type="spellEnd"/>
      <w:r w:rsidRPr="00641E07">
        <w:rPr>
          <w:rFonts w:ascii="Times New Roman" w:hAnsi="Times New Roman" w:cs="Times New Roman"/>
        </w:rPr>
        <w:t xml:space="preserve"> </w:t>
      </w:r>
      <w:proofErr w:type="spellStart"/>
      <w:r w:rsidRPr="00641E07">
        <w:rPr>
          <w:rFonts w:ascii="Times New Roman" w:hAnsi="Times New Roman" w:cs="Times New Roman"/>
        </w:rPr>
        <w:t>Currency</w:t>
      </w:r>
      <w:proofErr w:type="spellEnd"/>
      <w:r w:rsidRPr="00641E07">
        <w:rPr>
          <w:rFonts w:ascii="Times New Roman" w:hAnsi="Times New Roman" w:cs="Times New Roman"/>
        </w:rPr>
        <w:t xml:space="preserve"> </w:t>
      </w:r>
      <w:proofErr w:type="spellStart"/>
      <w:r w:rsidRPr="00641E07">
        <w:rPr>
          <w:rFonts w:ascii="Times New Roman" w:hAnsi="Times New Roman" w:cs="Times New Roman"/>
        </w:rPr>
        <w:t>Unit</w:t>
      </w:r>
      <w:proofErr w:type="spellEnd"/>
      <w:r w:rsidRPr="00641E07">
        <w:rPr>
          <w:rFonts w:ascii="Times New Roman" w:hAnsi="Times New Roman" w:cs="Times New Roman"/>
        </w:rPr>
        <w:t>)</w:t>
      </w:r>
    </w:p>
    <w:p w:rsidR="009B18D3" w:rsidRPr="00641E07" w:rsidRDefault="006C2CB3" w:rsidP="00641E07">
      <w:pPr>
        <w:rPr>
          <w:rFonts w:ascii="Times New Roman" w:hAnsi="Times New Roman" w:cs="Times New Roman"/>
        </w:rPr>
      </w:pPr>
      <w:r w:rsidRPr="00641E07">
        <w:rPr>
          <w:rFonts w:ascii="Times New Roman" w:hAnsi="Times New Roman" w:cs="Times New Roman"/>
        </w:rPr>
        <w:t>mechanizmu devízových kurzov</w:t>
      </w:r>
    </w:p>
    <w:p w:rsidR="009B18D3" w:rsidRPr="00641E07" w:rsidRDefault="006C2CB3" w:rsidP="00641E07">
      <w:pPr>
        <w:rPr>
          <w:rFonts w:ascii="Times New Roman" w:hAnsi="Times New Roman" w:cs="Times New Roman"/>
        </w:rPr>
      </w:pPr>
      <w:r w:rsidRPr="00641E07">
        <w:rPr>
          <w:rFonts w:ascii="Times New Roman" w:hAnsi="Times New Roman" w:cs="Times New Roman"/>
        </w:rPr>
        <w:t>úverového mechanizmu</w:t>
      </w:r>
    </w:p>
    <w:p w:rsidR="009B18D3" w:rsidRPr="00641E07" w:rsidRDefault="006C2CB3" w:rsidP="00641E07">
      <w:r w:rsidRPr="00641E07">
        <w:t xml:space="preserve">ECU plnilo funkciu rezervnej meny a slúžilo členským krajinám na vzájomné zúčtovanie obchodných a finančných operácií. ECU bolo fiktívna devíza, ktorá slúžila najmä na vyrovnávanie platieb medzi centrálnymi bankami. ECU vydával Európsky fond pre menovú spoluprácu, do ktorého centrálne banky krajín ES vložili 20% svojich zlatých a devízových rezerv, za ktoré </w:t>
      </w:r>
      <w:proofErr w:type="spellStart"/>
      <w:r w:rsidRPr="00641E07">
        <w:t>obdržali</w:t>
      </w:r>
      <w:proofErr w:type="spellEnd"/>
      <w:r w:rsidRPr="00641E07">
        <w:t xml:space="preserve"> protihodnotu v ECU. Do tohto fondu krajiny mohli zložiť členský podiel i v národných menách, t.j. ECU sa vydávali oproti depozitu 20% zlatých dolárových rezerv s tým, že zlato bolo oceňované bežnou trhovou cenou, znovu určovanou každé tri mesiace.</w:t>
      </w:r>
    </w:p>
    <w:p w:rsidR="00C60BDE" w:rsidRPr="00641E07" w:rsidRDefault="00C60BDE" w:rsidP="00641E07">
      <w:pPr>
        <w:rPr>
          <w:rFonts w:ascii="Times New Roman" w:hAnsi="Times New Roman" w:cs="Times New Roman"/>
        </w:rPr>
      </w:pPr>
      <w:r w:rsidRPr="00641E07">
        <w:rPr>
          <w:rFonts w:ascii="Times New Roman" w:hAnsi="Times New Roman" w:cs="Times New Roman"/>
        </w:rPr>
        <w:t xml:space="preserve"> </w:t>
      </w:r>
    </w:p>
    <w:p w:rsidR="009B18D3" w:rsidRPr="00641E07" w:rsidRDefault="006C2CB3" w:rsidP="00641E07">
      <w:pPr>
        <w:rPr>
          <w:rFonts w:ascii="Times New Roman" w:hAnsi="Times New Roman" w:cs="Times New Roman"/>
        </w:rPr>
      </w:pPr>
      <w:r w:rsidRPr="00641E07">
        <w:rPr>
          <w:rFonts w:ascii="Times New Roman" w:hAnsi="Times New Roman" w:cs="Times New Roman"/>
        </w:rPr>
        <w:t>Mechanizmus devízových kurzov fungoval na princípe intervenčných nákupov a predajov národných mien členských krajín centrálnymi bankami na národných devízových trhoch. Intervencie boli zamerané na udržanie vzájomných kurzov národných mien a na udržanie kurzov jednotlivých mien voči ECU. Kurzy ECU vo vzťahu k hlavným západným menám sa uverejňovali denne. Zo stredných kurzov národných mien k ECU sa odvodzovali stredné kurzy medzi národnými menami. Maximálna percentuálna odchýlka denného kurzu ECU od stredného kurzu závisela od váhy každej meny v menovom koši. Čím mala mena väčšiu váhu v menovom koši, tým viac pôsobila jej zmena kurzu na kurz ECU. Kritická hodnota ukazovateľa divergencie predstavoval 75% maximálnu prípustnú odchýlke denného kurzu, aby sa intervencie začali skôr, ako sa dosiahnu intervenčné body. V prípade, že mena členskej krajiny sa vyvíjala odlišne ako ostatné meny, krajina bola povinná prijať opatrenia na zmiernenie kurzového rozpätia, ako napr. intervencie na devízových trhoch, opatrenia v oblasti úrokových sadzieb, zmena stredných kurzov a pod. Pokiaľ sa uplatňovali rôzne hospodárske politiky vnútri spoločenstva, bolo nutné upravovať kurzy mien devalváciami a revalváciami.</w:t>
      </w:r>
    </w:p>
    <w:p w:rsidR="009B18D3" w:rsidRPr="00641E07" w:rsidRDefault="006C2CB3" w:rsidP="00641E07">
      <w:pPr>
        <w:rPr>
          <w:rFonts w:ascii="Times New Roman" w:hAnsi="Times New Roman" w:cs="Times New Roman"/>
        </w:rPr>
      </w:pPr>
      <w:r w:rsidRPr="00641E07">
        <w:rPr>
          <w:rFonts w:ascii="Times New Roman" w:hAnsi="Times New Roman" w:cs="Times New Roman"/>
        </w:rPr>
        <w:t>Kurzový mechanizmus dopĺňal úverový mechanizmus. V EMS sa vytvoril:</w:t>
      </w:r>
    </w:p>
    <w:p w:rsidR="009B18D3" w:rsidRPr="00641E07" w:rsidRDefault="006C2CB3" w:rsidP="00641E07">
      <w:pPr>
        <w:rPr>
          <w:rFonts w:ascii="Times New Roman" w:hAnsi="Times New Roman" w:cs="Times New Roman"/>
        </w:rPr>
      </w:pPr>
      <w:r w:rsidRPr="00641E07">
        <w:rPr>
          <w:rFonts w:ascii="Times New Roman" w:hAnsi="Times New Roman" w:cs="Times New Roman"/>
        </w:rPr>
        <w:t>mechanizmus veľmi krátkych úverov</w:t>
      </w:r>
    </w:p>
    <w:p w:rsidR="009B18D3" w:rsidRPr="00641E07" w:rsidRDefault="006C2CB3" w:rsidP="00641E07">
      <w:pPr>
        <w:rPr>
          <w:rFonts w:ascii="Times New Roman" w:hAnsi="Times New Roman" w:cs="Times New Roman"/>
        </w:rPr>
      </w:pPr>
      <w:r w:rsidRPr="00641E07">
        <w:rPr>
          <w:rFonts w:ascii="Times New Roman" w:hAnsi="Times New Roman" w:cs="Times New Roman"/>
        </w:rPr>
        <w:t>mechanizmus krátkodobej finančnej podpory</w:t>
      </w:r>
    </w:p>
    <w:p w:rsidR="009B18D3" w:rsidRPr="00641E07" w:rsidRDefault="006C2CB3" w:rsidP="00641E07">
      <w:pPr>
        <w:rPr>
          <w:rFonts w:ascii="Times New Roman" w:hAnsi="Times New Roman" w:cs="Times New Roman"/>
        </w:rPr>
      </w:pPr>
      <w:r w:rsidRPr="00641E07">
        <w:rPr>
          <w:rFonts w:ascii="Times New Roman" w:hAnsi="Times New Roman" w:cs="Times New Roman"/>
        </w:rPr>
        <w:t xml:space="preserve">mechanizmus strednodobej finančnej </w:t>
      </w:r>
    </w:p>
    <w:p w:rsidR="009B18D3" w:rsidRPr="00641E07" w:rsidRDefault="006C2CB3" w:rsidP="00641E07">
      <w:pPr>
        <w:rPr>
          <w:rFonts w:ascii="Times New Roman" w:hAnsi="Times New Roman" w:cs="Times New Roman"/>
        </w:rPr>
      </w:pPr>
      <w:r w:rsidRPr="00641E07">
        <w:rPr>
          <w:rFonts w:ascii="Times New Roman" w:hAnsi="Times New Roman" w:cs="Times New Roman"/>
        </w:rPr>
        <w:lastRenderedPageBreak/>
        <w:t>Európska menová únia</w:t>
      </w:r>
    </w:p>
    <w:p w:rsidR="009B18D3" w:rsidRPr="00641E07" w:rsidRDefault="006C2CB3" w:rsidP="00641E07">
      <w:pPr>
        <w:rPr>
          <w:rFonts w:ascii="Times New Roman" w:hAnsi="Times New Roman" w:cs="Times New Roman"/>
        </w:rPr>
      </w:pPr>
      <w:r w:rsidRPr="00641E07">
        <w:rPr>
          <w:rFonts w:ascii="Times New Roman" w:hAnsi="Times New Roman" w:cs="Times New Roman"/>
        </w:rPr>
        <w:t>V roku 1991 sa v Maastrichte uzavrela Zmluva o Európskej únii, ktorá je základom Európskej menovej únie. Obsahom zmluvy je súhlasné vyjadrenie členských krajín s dobudovaním hospodárskej a menovej únie. Podstatou EMÚ je zavedenie jednotnej európskej meny euro, záväzná spoločná menová politika, na základe čoho sa má zabezpečiť cenová stabilita.</w:t>
      </w:r>
    </w:p>
    <w:p w:rsidR="009B18D3" w:rsidRPr="00641E07" w:rsidRDefault="006C2CB3" w:rsidP="00641E07">
      <w:pPr>
        <w:rPr>
          <w:rFonts w:ascii="Times New Roman" w:hAnsi="Times New Roman" w:cs="Times New Roman"/>
        </w:rPr>
      </w:pPr>
      <w:r w:rsidRPr="00641E07">
        <w:rPr>
          <w:rFonts w:ascii="Times New Roman" w:hAnsi="Times New Roman" w:cs="Times New Roman"/>
        </w:rPr>
        <w:t>Charakteristika hospodárskej a menovej únie (HMÚ)</w:t>
      </w:r>
    </w:p>
    <w:p w:rsidR="009B18D3" w:rsidRPr="00641E07" w:rsidRDefault="006C2CB3" w:rsidP="00641E07">
      <w:pPr>
        <w:rPr>
          <w:rFonts w:ascii="Times New Roman" w:hAnsi="Times New Roman" w:cs="Times New Roman"/>
        </w:rPr>
      </w:pPr>
      <w:r w:rsidRPr="00641E07">
        <w:rPr>
          <w:rFonts w:ascii="Times New Roman" w:hAnsi="Times New Roman" w:cs="Times New Roman"/>
        </w:rPr>
        <w:t>Dokončenie Hospodárskej a menovej únie (HMÚ) je jedným z najambicióznejších a najkontroverznejších cieľov Európskej únie. Podpis Zmluvy o Európskej únii a jej ratifikácia 1. novembra 1993 znamená záväzok vybudovať hospodársku a menovú úniu. Spoločná mena vnútri EÚ posilní jednotný trh a zvýši ekonomickú váhu</w:t>
      </w:r>
      <w:r w:rsidRPr="00641E07">
        <w:rPr>
          <w:rFonts w:ascii="Times New Roman" w:hAnsi="Times New Roman" w:cs="Times New Roman"/>
        </w:rPr>
        <w:sym w:font="Times New Roman" w:char="F020"/>
      </w:r>
      <w:r w:rsidRPr="00641E07">
        <w:rPr>
          <w:rFonts w:ascii="Times New Roman" w:hAnsi="Times New Roman" w:cs="Times New Roman"/>
        </w:rPr>
        <w:t xml:space="preserve"> Únie. Na základe podmienok Maastrichtskej zmluvy budú kurzy mien krajín zúčastnených na HMÚ neodvolateľne fixované od 1. januára 1999. Ich národné meny sa potom stanú len vyjadrením spoločnej meny, ktorá sa podľa ustanovení . Zmluvy zavedie bezodkladne. Potrebu úzkej menovej spolupráce vyvolávajú predovšetkým silné vonkajšie ekonomické vplyvy. Čím viac sú jednotlivé ekonomické systémy previazané, tým viac ich ekonomické vzťahy vyvolávajú kurzové fluktuácie. Preto Európska únia očakáva od HMÚ predovšetkým zlepšenie svojej konkurencieschopnosti.</w:t>
      </w:r>
    </w:p>
    <w:p w:rsidR="009B18D3" w:rsidRPr="00641E07" w:rsidRDefault="006C2CB3" w:rsidP="00641E07">
      <w:pPr>
        <w:rPr>
          <w:rFonts w:ascii="Times New Roman" w:hAnsi="Times New Roman" w:cs="Times New Roman"/>
        </w:rPr>
      </w:pPr>
      <w:r w:rsidRPr="00641E07">
        <w:rPr>
          <w:rFonts w:ascii="Times New Roman" w:hAnsi="Times New Roman" w:cs="Times New Roman"/>
        </w:rPr>
        <w:t xml:space="preserve">Spoločenstvo sa už niekoľkokrát pokúšalo rozvinúť hospodársku spoluprácu. V 70. rokoch </w:t>
      </w:r>
      <w:proofErr w:type="spellStart"/>
      <w:r w:rsidRPr="00641E07">
        <w:rPr>
          <w:rFonts w:ascii="Times New Roman" w:hAnsi="Times New Roman" w:cs="Times New Roman"/>
        </w:rPr>
        <w:t>Wernerov</w:t>
      </w:r>
      <w:proofErr w:type="spellEnd"/>
      <w:r w:rsidRPr="00641E07">
        <w:rPr>
          <w:rFonts w:ascii="Times New Roman" w:hAnsi="Times New Roman" w:cs="Times New Roman"/>
        </w:rPr>
        <w:t xml:space="preserve"> plán zameraný na vybudovanie hospodárskej a menovej únie stroskotal na nedostatku ochoty prehĺbiť integráciu a na rozličných ekonomických záujmoch členských štátov. Neskôr došlo k pragmatickému pokusu obmedziť riziko kurzových výkyvov najskôr prostredníctvom menového Európskeho menového</w:t>
      </w:r>
      <w:r w:rsidRPr="00641E07">
        <w:rPr>
          <w:rFonts w:ascii="Times New Roman" w:hAnsi="Times New Roman" w:cs="Times New Roman"/>
        </w:rPr>
        <w:sym w:font="Times New Roman" w:char="F020"/>
      </w:r>
      <w:r w:rsidRPr="00641E07">
        <w:rPr>
          <w:rFonts w:ascii="Times New Roman" w:hAnsi="Times New Roman" w:cs="Times New Roman"/>
        </w:rPr>
        <w:t xml:space="preserve"> hada (1972), a potom pomocou Európskeho menového systému (1979), ktorý bol už spomínaný v kap.1. Cieľ vybudovať hospodársku a menovú úniu opäť vystúpil do popredia, keď sa pre to v polovici 80. rokov v súvislosti s prehlbovaním integračného procesu, s očakávaným jednotného trhu a zblížením</w:t>
      </w:r>
      <w:r w:rsidRPr="00641E07">
        <w:rPr>
          <w:rFonts w:ascii="Times New Roman" w:hAnsi="Times New Roman" w:cs="Times New Roman"/>
        </w:rPr>
        <w:sym w:font="Times New Roman" w:char="F020"/>
      </w:r>
      <w:r w:rsidRPr="00641E07">
        <w:rPr>
          <w:rFonts w:ascii="Times New Roman" w:hAnsi="Times New Roman" w:cs="Times New Roman"/>
        </w:rPr>
        <w:t>dobudovaním  názorov na hospodárske otázky vytvorili nevyhnutné podmienky.</w:t>
      </w:r>
    </w:p>
    <w:p w:rsidR="00C76A7D" w:rsidRPr="00641E07" w:rsidRDefault="006C2CB3" w:rsidP="00641E07">
      <w:pPr>
        <w:rPr>
          <w:rFonts w:ascii="Times New Roman" w:hAnsi="Times New Roman" w:cs="Times New Roman"/>
        </w:rPr>
      </w:pPr>
      <w:r w:rsidRPr="00641E07">
        <w:rPr>
          <w:rFonts w:ascii="Times New Roman" w:hAnsi="Times New Roman" w:cs="Times New Roman"/>
        </w:rPr>
        <w:t>Vznik HMÚ</w:t>
      </w:r>
    </w:p>
    <w:p w:rsidR="009B18D3" w:rsidRPr="00641E07" w:rsidRDefault="006C2CB3" w:rsidP="00641E07">
      <w:pPr>
        <w:rPr>
          <w:rFonts w:ascii="Times New Roman" w:hAnsi="Times New Roman" w:cs="Times New Roman"/>
        </w:rPr>
      </w:pPr>
      <w:r w:rsidRPr="00641E07">
        <w:rPr>
          <w:rFonts w:ascii="Times New Roman" w:hAnsi="Times New Roman" w:cs="Times New Roman"/>
        </w:rPr>
        <w:t xml:space="preserve">V máji 1998 Európska rada po prerokovaní v Európskom parlamente rozhodla o vzniku Hospodárskej a menovej únie. </w:t>
      </w:r>
    </w:p>
    <w:p w:rsidR="00C76A7D" w:rsidRPr="00641E07" w:rsidRDefault="006C2CB3" w:rsidP="00641E07">
      <w:pPr>
        <w:rPr>
          <w:rFonts w:ascii="Times New Roman" w:hAnsi="Times New Roman" w:cs="Times New Roman"/>
        </w:rPr>
      </w:pPr>
      <w:r w:rsidRPr="00641E07">
        <w:rPr>
          <w:rFonts w:ascii="Times New Roman" w:hAnsi="Times New Roman" w:cs="Times New Roman"/>
        </w:rPr>
        <w:t xml:space="preserve">Zakladateľské krajiny (11) </w:t>
      </w:r>
    </w:p>
    <w:p w:rsidR="00C76A7D" w:rsidRPr="00641E07" w:rsidRDefault="006C2CB3" w:rsidP="00641E07">
      <w:pPr>
        <w:rPr>
          <w:rFonts w:ascii="Times New Roman" w:hAnsi="Times New Roman" w:cs="Times New Roman"/>
        </w:rPr>
      </w:pPr>
      <w:r w:rsidRPr="00641E07">
        <w:rPr>
          <w:rFonts w:ascii="Times New Roman" w:hAnsi="Times New Roman" w:cs="Times New Roman"/>
        </w:rPr>
        <w:t>Španielsko, Portugalsko, Francúzsko, Nemecko, Taliansko, Holandsko, Belgicko, Rakúsko, Fínsko, Luxembursko, Írsko</w:t>
      </w:r>
      <w:r w:rsidR="00C76A7D" w:rsidRPr="00641E07">
        <w:rPr>
          <w:rFonts w:ascii="Times New Roman" w:hAnsi="Times New Roman" w:cs="Times New Roman"/>
        </w:rPr>
        <w:t xml:space="preserve">, </w:t>
      </w:r>
      <w:r w:rsidRPr="00641E07">
        <w:rPr>
          <w:rFonts w:ascii="Times New Roman" w:hAnsi="Times New Roman" w:cs="Times New Roman"/>
        </w:rPr>
        <w:t>Grécko vstúpilo do HMÚ neskôr</w:t>
      </w:r>
      <w:r w:rsidR="00C76A7D" w:rsidRPr="00641E07">
        <w:rPr>
          <w:rFonts w:ascii="Times New Roman" w:hAnsi="Times New Roman" w:cs="Times New Roman"/>
        </w:rPr>
        <w:t xml:space="preserve">. </w:t>
      </w:r>
      <w:r w:rsidRPr="00641E07">
        <w:rPr>
          <w:rFonts w:ascii="Times New Roman" w:hAnsi="Times New Roman" w:cs="Times New Roman"/>
        </w:rPr>
        <w:t>krajiny Európskej Únie, ktoré nevstúpili do HMÚ: Veľká Británia, Dánsko, Švédsko</w:t>
      </w:r>
      <w:r w:rsidR="00C76A7D" w:rsidRPr="00641E07">
        <w:rPr>
          <w:rFonts w:ascii="Times New Roman" w:hAnsi="Times New Roman" w:cs="Times New Roman"/>
        </w:rPr>
        <w:t>.</w:t>
      </w:r>
    </w:p>
    <w:p w:rsidR="00C76A7D" w:rsidRPr="00641E07" w:rsidRDefault="00C76A7D" w:rsidP="00641E07">
      <w:pPr>
        <w:rPr>
          <w:rFonts w:ascii="Times New Roman" w:hAnsi="Times New Roman" w:cs="Times New Roman"/>
        </w:rPr>
      </w:pPr>
      <w:bookmarkStart w:id="0" w:name="_GoBack"/>
      <w:bookmarkEnd w:id="0"/>
      <w:r w:rsidRPr="00641E07">
        <w:rPr>
          <w:rFonts w:ascii="Times New Roman" w:hAnsi="Times New Roman" w:cs="Times New Roman"/>
        </w:rPr>
        <w:br w:type="page"/>
      </w:r>
    </w:p>
    <w:p w:rsidR="00C76A7D" w:rsidRPr="00641E07" w:rsidRDefault="00C76A7D" w:rsidP="00641E07">
      <w:pPr>
        <w:rPr>
          <w:rFonts w:ascii="Times New Roman" w:hAnsi="Times New Roman" w:cs="Times New Roman"/>
        </w:rPr>
      </w:pPr>
      <w:r w:rsidRPr="00641E07">
        <w:rPr>
          <w:rFonts w:ascii="Times New Roman" w:hAnsi="Times New Roman" w:cs="Times New Roman"/>
        </w:rPr>
        <w:lastRenderedPageBreak/>
        <w:t>Ciele</w:t>
      </w:r>
    </w:p>
    <w:p w:rsidR="009B18D3" w:rsidRPr="00641E07" w:rsidRDefault="001F049F" w:rsidP="00641E07">
      <w:pPr>
        <w:rPr>
          <w:rFonts w:ascii="Times New Roman" w:hAnsi="Times New Roman" w:cs="Times New Roman"/>
        </w:rPr>
      </w:pPr>
      <w:r w:rsidRPr="00641E07">
        <w:rPr>
          <w:rFonts w:ascii="Times New Roman" w:hAnsi="Times New Roman" w:cs="Times New Roman"/>
        </w:rPr>
        <w:t xml:space="preserve">Stabilita </w:t>
      </w:r>
      <w:r w:rsidR="006C2CB3" w:rsidRPr="00641E07">
        <w:rPr>
          <w:rFonts w:ascii="Times New Roman" w:hAnsi="Times New Roman" w:cs="Times New Roman"/>
        </w:rPr>
        <w:t>cien, neodvolateľne fixované kurzy medzi menami EÚ od roku 1999, zavedenie spoločnej meny euro.</w:t>
      </w:r>
    </w:p>
    <w:p w:rsidR="001F049F" w:rsidRPr="00641E07" w:rsidRDefault="001F049F" w:rsidP="00641E07">
      <w:pPr>
        <w:rPr>
          <w:rFonts w:ascii="Times New Roman" w:hAnsi="Times New Roman" w:cs="Times New Roman"/>
        </w:rPr>
      </w:pPr>
      <w:r w:rsidRPr="00641E07">
        <w:rPr>
          <w:rFonts w:ascii="Times New Roman" w:hAnsi="Times New Roman" w:cs="Times New Roman"/>
        </w:rPr>
        <w:t>Nástroje</w:t>
      </w:r>
    </w:p>
    <w:p w:rsidR="009B18D3" w:rsidRPr="00641E07" w:rsidRDefault="001F049F" w:rsidP="00641E07">
      <w:pPr>
        <w:rPr>
          <w:rFonts w:ascii="Times New Roman" w:hAnsi="Times New Roman" w:cs="Times New Roman"/>
        </w:rPr>
      </w:pPr>
      <w:r w:rsidRPr="00641E07">
        <w:rPr>
          <w:rFonts w:ascii="Times New Roman" w:hAnsi="Times New Roman" w:cs="Times New Roman"/>
        </w:rPr>
        <w:t xml:space="preserve">Rozvoj </w:t>
      </w:r>
      <w:r w:rsidR="006C2CB3" w:rsidRPr="00641E07">
        <w:rPr>
          <w:rFonts w:ascii="Times New Roman" w:hAnsi="Times New Roman" w:cs="Times New Roman"/>
        </w:rPr>
        <w:t>spoločnej menovej politiky, úzka koordinácia hospodárskych politík,</w:t>
      </w:r>
      <w:r w:rsidRPr="00641E07">
        <w:rPr>
          <w:rFonts w:ascii="Times New Roman" w:hAnsi="Times New Roman" w:cs="Times New Roman"/>
        </w:rPr>
        <w:t xml:space="preserve"> </w:t>
      </w:r>
      <w:r w:rsidR="006C2CB3" w:rsidRPr="00641E07">
        <w:rPr>
          <w:rFonts w:ascii="Times New Roman" w:hAnsi="Times New Roman" w:cs="Times New Roman"/>
        </w:rPr>
        <w:t>založenie Európskeho systému centrálnych bánk (ESCB).</w:t>
      </w:r>
    </w:p>
    <w:p w:rsidR="009B18D3" w:rsidRPr="00641E07" w:rsidRDefault="006C2CB3" w:rsidP="00641E07">
      <w:pPr>
        <w:rPr>
          <w:rFonts w:ascii="Times New Roman" w:hAnsi="Times New Roman" w:cs="Times New Roman"/>
        </w:rPr>
      </w:pPr>
      <w:r w:rsidRPr="00641E07">
        <w:rPr>
          <w:rFonts w:ascii="Times New Roman" w:hAnsi="Times New Roman" w:cs="Times New Roman"/>
        </w:rPr>
        <w:t>História vzniku HMÚ</w:t>
      </w:r>
    </w:p>
    <w:p w:rsidR="009B18D3" w:rsidRPr="00641E07" w:rsidRDefault="006C2CB3" w:rsidP="00641E07">
      <w:pPr>
        <w:rPr>
          <w:rFonts w:ascii="Times New Roman" w:hAnsi="Times New Roman" w:cs="Times New Roman"/>
        </w:rPr>
      </w:pPr>
      <w:r w:rsidRPr="00641E07">
        <w:rPr>
          <w:rFonts w:ascii="Times New Roman" w:hAnsi="Times New Roman" w:cs="Times New Roman"/>
        </w:rPr>
        <w:t>Proces vytvárania HMÚ bol rozdelený do 3 etáp:</w:t>
      </w:r>
    </w:p>
    <w:p w:rsidR="009B18D3" w:rsidRPr="00641E07" w:rsidRDefault="006C2CB3" w:rsidP="00641E07">
      <w:pPr>
        <w:rPr>
          <w:rFonts w:ascii="Times New Roman" w:hAnsi="Times New Roman" w:cs="Times New Roman"/>
          <w:sz w:val="24"/>
        </w:rPr>
      </w:pPr>
      <w:r w:rsidRPr="00641E07">
        <w:rPr>
          <w:rFonts w:ascii="Times New Roman" w:hAnsi="Times New Roman" w:cs="Times New Roman"/>
          <w:sz w:val="24"/>
        </w:rPr>
        <w:t>1.etapa: 1. júl 1990 - 31. december 1993</w:t>
      </w:r>
    </w:p>
    <w:p w:rsidR="009B18D3" w:rsidRPr="00641E07" w:rsidRDefault="006C2CB3" w:rsidP="00641E07">
      <w:pPr>
        <w:rPr>
          <w:rFonts w:ascii="Times New Roman" w:hAnsi="Times New Roman" w:cs="Times New Roman"/>
        </w:rPr>
      </w:pPr>
      <w:r w:rsidRPr="00641E07">
        <w:rPr>
          <w:rFonts w:ascii="Times New Roman" w:hAnsi="Times New Roman" w:cs="Times New Roman"/>
        </w:rPr>
        <w:t>Zamerala sa na odstránenie všetkých vnútorných prekážok pre voľný pohyb kapitálu, zvýšenie menovej koordinácie a vstup všetkých členských štátov do Európskeho menového systému</w:t>
      </w:r>
    </w:p>
    <w:p w:rsidR="009B18D3" w:rsidRPr="00641E07" w:rsidRDefault="006C2CB3" w:rsidP="00641E07">
      <w:pPr>
        <w:rPr>
          <w:rFonts w:ascii="Times New Roman" w:hAnsi="Times New Roman" w:cs="Times New Roman"/>
          <w:sz w:val="24"/>
        </w:rPr>
      </w:pPr>
      <w:r w:rsidRPr="00641E07">
        <w:rPr>
          <w:rFonts w:ascii="Times New Roman" w:hAnsi="Times New Roman" w:cs="Times New Roman"/>
          <w:sz w:val="24"/>
        </w:rPr>
        <w:t>2.etapa: 1.január 1994 – 31. december 1998</w:t>
      </w:r>
    </w:p>
    <w:p w:rsidR="009B18D3" w:rsidRPr="00641E07" w:rsidRDefault="006C2CB3" w:rsidP="00641E07">
      <w:pPr>
        <w:rPr>
          <w:rFonts w:ascii="Times New Roman" w:hAnsi="Times New Roman" w:cs="Times New Roman"/>
        </w:rPr>
      </w:pPr>
      <w:r w:rsidRPr="00641E07">
        <w:rPr>
          <w:rFonts w:ascii="Times New Roman" w:hAnsi="Times New Roman" w:cs="Times New Roman"/>
        </w:rPr>
        <w:t>V januári 1994 odštartovala druhá etapa, ktorá medzi iným viedla k založeniu Európskeho menového inštitútu a k odstráneniu financovania verejného sektora prostredníctvom centrálnych bánk a nadmerných deficitov verejných financií.</w:t>
      </w:r>
    </w:p>
    <w:p w:rsidR="009B18D3" w:rsidRPr="00641E07" w:rsidRDefault="006C2CB3" w:rsidP="00641E07">
      <w:pPr>
        <w:rPr>
          <w:rFonts w:ascii="Times New Roman" w:hAnsi="Times New Roman" w:cs="Times New Roman"/>
          <w:sz w:val="24"/>
        </w:rPr>
      </w:pPr>
      <w:r w:rsidRPr="00641E07">
        <w:rPr>
          <w:rFonts w:ascii="Times New Roman" w:hAnsi="Times New Roman" w:cs="Times New Roman"/>
          <w:sz w:val="24"/>
        </w:rPr>
        <w:t>3.etapa: 1. január 1999 – zavedenie jednotnej meny euro 1.januára 2002</w:t>
      </w:r>
    </w:p>
    <w:p w:rsidR="009B18D3" w:rsidRPr="00641E07" w:rsidRDefault="006C2CB3" w:rsidP="00641E07">
      <w:pPr>
        <w:rPr>
          <w:rFonts w:ascii="Times New Roman" w:hAnsi="Times New Roman" w:cs="Times New Roman"/>
        </w:rPr>
      </w:pPr>
      <w:r w:rsidRPr="00641E07">
        <w:rPr>
          <w:rFonts w:ascii="Times New Roman" w:hAnsi="Times New Roman" w:cs="Times New Roman"/>
        </w:rPr>
        <w:t>Napokon posledná etapa so začiatkom 1. januára 1999 znamenala neodvolateľné fixovanie výmenných kurzov mien zapojených do menovej únie, zavedenie eura v bezhotovostnom platobnom styku a presun kompetencií v menovej politike z členských krajín na Eurosystém. Tieto krajiny tak v súčasnosti uplatňujú jednotnú menovú politiku. Jej stanovenie a realizácia je v rukách Európskej centrálnej banky (ECB) a Európskeho systému centrálnych bánk (ESCB).</w:t>
      </w:r>
    </w:p>
    <w:p w:rsidR="009B18D3" w:rsidRPr="00641E07" w:rsidRDefault="006C2CB3" w:rsidP="00641E07">
      <w:pPr>
        <w:rPr>
          <w:rFonts w:ascii="Times New Roman" w:hAnsi="Times New Roman" w:cs="Times New Roman"/>
        </w:rPr>
      </w:pPr>
      <w:r w:rsidRPr="00641E07">
        <w:rPr>
          <w:rFonts w:ascii="Times New Roman" w:hAnsi="Times New Roman" w:cs="Times New Roman"/>
        </w:rPr>
        <w:t>Charakteristika jednotlivých etáp</w:t>
      </w:r>
    </w:p>
    <w:p w:rsidR="009B18D3" w:rsidRPr="00641E07" w:rsidRDefault="006C2CB3" w:rsidP="00641E07">
      <w:pPr>
        <w:rPr>
          <w:rFonts w:ascii="Times New Roman" w:hAnsi="Times New Roman" w:cs="Times New Roman"/>
          <w:sz w:val="24"/>
        </w:rPr>
      </w:pPr>
      <w:r w:rsidRPr="00641E07">
        <w:rPr>
          <w:rFonts w:ascii="Times New Roman" w:hAnsi="Times New Roman" w:cs="Times New Roman"/>
          <w:sz w:val="24"/>
        </w:rPr>
        <w:t>1.etapa: 1. júl 1990-31.december 1993</w:t>
      </w:r>
    </w:p>
    <w:p w:rsidR="009B18D3" w:rsidRPr="00641E07" w:rsidRDefault="006C2CB3" w:rsidP="00641E07">
      <w:pPr>
        <w:rPr>
          <w:rFonts w:ascii="Times New Roman" w:hAnsi="Times New Roman" w:cs="Times New Roman"/>
        </w:rPr>
      </w:pPr>
      <w:r w:rsidRPr="00641E07">
        <w:rPr>
          <w:rFonts w:ascii="Times New Roman" w:hAnsi="Times New Roman" w:cs="Times New Roman"/>
        </w:rPr>
        <w:t xml:space="preserve">Samotnému vzniku Hospodárskej a menovej únie predchádzajú ustanovenia vyjadrené vo </w:t>
      </w:r>
      <w:proofErr w:type="spellStart"/>
      <w:r w:rsidRPr="00641E07">
        <w:rPr>
          <w:rFonts w:ascii="Times New Roman" w:hAnsi="Times New Roman" w:cs="Times New Roman"/>
        </w:rPr>
        <w:t>Wernerovom</w:t>
      </w:r>
      <w:proofErr w:type="spellEnd"/>
      <w:r w:rsidRPr="00641E07">
        <w:rPr>
          <w:rFonts w:ascii="Times New Roman" w:hAnsi="Times New Roman" w:cs="Times New Roman"/>
        </w:rPr>
        <w:t xml:space="preserve"> projekte, na ktorý nadväzovala </w:t>
      </w:r>
      <w:proofErr w:type="spellStart"/>
      <w:r w:rsidRPr="00641E07">
        <w:rPr>
          <w:rFonts w:ascii="Times New Roman" w:hAnsi="Times New Roman" w:cs="Times New Roman"/>
        </w:rPr>
        <w:t>Delorsova</w:t>
      </w:r>
      <w:proofErr w:type="spellEnd"/>
      <w:r w:rsidRPr="00641E07">
        <w:rPr>
          <w:rFonts w:ascii="Times New Roman" w:hAnsi="Times New Roman" w:cs="Times New Roman"/>
        </w:rPr>
        <w:t xml:space="preserve"> správa. Táto správa predložená skupinou expertov vrátane guvernérov národných centrálnych bánk v apríli 1989, uvažovala o prechode k HMÚ vo vyššie spomenutých troch štádiách. </w:t>
      </w:r>
    </w:p>
    <w:p w:rsidR="009B18D3" w:rsidRPr="00641E07" w:rsidRDefault="006C2CB3" w:rsidP="00641E07">
      <w:pPr>
        <w:rPr>
          <w:rFonts w:ascii="Times New Roman" w:hAnsi="Times New Roman" w:cs="Times New Roman"/>
        </w:rPr>
      </w:pPr>
      <w:r w:rsidRPr="00641E07">
        <w:rPr>
          <w:rFonts w:ascii="Times New Roman" w:hAnsi="Times New Roman" w:cs="Times New Roman"/>
        </w:rPr>
        <w:t>Dôležitým medzníkom v uplatňovaní hospodárskej a menovej politiky členských krajín EÚ bolo podpísanie Maastrichtskej zmluvy v roku 1991 a jej následná ratifikácia s roku 1992. Táto zmluva je formálne nazývaná Zmluva o Európskej únii. Až dovtedy bola táto politika v kompetencii národných vlád, pričom vlády boli povinné považovať ju za "vec spoločného záujmu" a koordinovať ju v súlade so spoločnými cieľmi spoločenstva. V skutočnosti však bola koordinácia kvôli rozličným názorom a prioritám členských krajín nedostatočná a neviedla k zbližovaniu hospodárskych politík členských krajín.</w:t>
      </w:r>
    </w:p>
    <w:p w:rsidR="009B18D3" w:rsidRPr="00641E07" w:rsidRDefault="006C2CB3" w:rsidP="00641E07">
      <w:pPr>
        <w:rPr>
          <w:rFonts w:ascii="Times New Roman" w:hAnsi="Times New Roman" w:cs="Times New Roman"/>
        </w:rPr>
      </w:pPr>
      <w:r w:rsidRPr="00641E07">
        <w:rPr>
          <w:rFonts w:ascii="Times New Roman" w:hAnsi="Times New Roman" w:cs="Times New Roman"/>
        </w:rPr>
        <w:t xml:space="preserve">Nová zmluva zavádza rozšírený zoznam princípov hospodárskej a menovej politiky, pričom Rada EÚ vydáva zásady a odporúčania pre hospodársku politiku členských krajín, ktoré sú v súlade so </w:t>
      </w:r>
      <w:r w:rsidRPr="00641E07">
        <w:rPr>
          <w:rFonts w:ascii="Times New Roman" w:hAnsi="Times New Roman" w:cs="Times New Roman"/>
        </w:rPr>
        <w:lastRenderedPageBreak/>
        <w:t>stanovenými princípmi. Ak hospodárska politika nie je v súlade so smernicami, Rada EÚ môže zaslať členským krajinám potrebné odporúčania a za určitých okolností ich ako nátlakový prostriedok zverejniť. Ide predovšetkým o kontrolu rozpočtovej politiky a rozpočtových deficitov.</w:t>
      </w:r>
    </w:p>
    <w:p w:rsidR="009B18D3" w:rsidRPr="00641E07" w:rsidRDefault="006C2CB3" w:rsidP="008A7AD1">
      <w:pPr>
        <w:rPr>
          <w:rFonts w:ascii="Times New Roman" w:hAnsi="Times New Roman" w:cs="Times New Roman"/>
        </w:rPr>
      </w:pPr>
      <w:r w:rsidRPr="00641E07">
        <w:rPr>
          <w:rFonts w:ascii="Times New Roman" w:hAnsi="Times New Roman" w:cs="Times New Roman"/>
        </w:rPr>
        <w:t xml:space="preserve">Zmluva je výsledkom dvoch medzivládnych konferencií, jednej o ekonomickej a menovej únii a druhej o politickej únii, ktoré prebiehali paralelne. Maastrichtská zmluva bola prijatá na stretnutí Európskej rady v holandskom Maastrichte v decembri 1991 a 7. 2. 1992 tam bola aj podpísaná. Do platnosti vstúpila po ukončení ratifikačného procesu v novembri 1993. </w:t>
      </w:r>
    </w:p>
    <w:p w:rsidR="009B18D3" w:rsidRPr="00641E07" w:rsidRDefault="009B18D3" w:rsidP="00641E07">
      <w:pPr>
        <w:rPr>
          <w:rFonts w:ascii="Times New Roman" w:hAnsi="Times New Roman" w:cs="Times New Roman"/>
        </w:rPr>
      </w:pPr>
    </w:p>
    <w:sectPr w:rsidR="009B18D3" w:rsidRPr="00641E07" w:rsidSect="00824B9C">
      <w:footerReference w:type="default" r:id="rId9"/>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2AD" w:rsidRDefault="00B322AD" w:rsidP="002E7754">
      <w:pPr>
        <w:spacing w:after="0" w:line="240" w:lineRule="auto"/>
      </w:pPr>
      <w:r>
        <w:separator/>
      </w:r>
    </w:p>
  </w:endnote>
  <w:endnote w:type="continuationSeparator" w:id="0">
    <w:p w:rsidR="00B322AD" w:rsidRDefault="00B322AD" w:rsidP="002E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54" w:rsidRDefault="002E7754">
    <w:pPr>
      <w:pStyle w:val="Pta"/>
      <w:jc w:val="right"/>
    </w:pPr>
  </w:p>
  <w:p w:rsidR="002E7754" w:rsidRDefault="002E775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2AD" w:rsidRDefault="00B322AD" w:rsidP="002E7754">
      <w:pPr>
        <w:spacing w:after="0" w:line="240" w:lineRule="auto"/>
      </w:pPr>
      <w:r>
        <w:separator/>
      </w:r>
    </w:p>
  </w:footnote>
  <w:footnote w:type="continuationSeparator" w:id="0">
    <w:p w:rsidR="00B322AD" w:rsidRDefault="00B322AD" w:rsidP="002E7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76EE"/>
    <w:multiLevelType w:val="hybridMultilevel"/>
    <w:tmpl w:val="9C866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DE1032C"/>
    <w:multiLevelType w:val="hybridMultilevel"/>
    <w:tmpl w:val="BFDA9BF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4B64883"/>
    <w:multiLevelType w:val="hybridMultilevel"/>
    <w:tmpl w:val="F6A009C4"/>
    <w:lvl w:ilvl="0" w:tplc="BC06B552">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4D5757AC"/>
    <w:multiLevelType w:val="hybridMultilevel"/>
    <w:tmpl w:val="5DB8F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14F1D76"/>
    <w:multiLevelType w:val="multilevel"/>
    <w:tmpl w:val="5140701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651C1E8E"/>
    <w:multiLevelType w:val="hybridMultilevel"/>
    <w:tmpl w:val="A7E46EF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2431F"/>
    <w:rsid w:val="00002CBA"/>
    <w:rsid w:val="00027085"/>
    <w:rsid w:val="0018726A"/>
    <w:rsid w:val="001A5724"/>
    <w:rsid w:val="001E2E2D"/>
    <w:rsid w:val="001F049F"/>
    <w:rsid w:val="002E7754"/>
    <w:rsid w:val="00313C45"/>
    <w:rsid w:val="00336FFE"/>
    <w:rsid w:val="005A523B"/>
    <w:rsid w:val="00641E07"/>
    <w:rsid w:val="006C2CB3"/>
    <w:rsid w:val="0072431F"/>
    <w:rsid w:val="007F1A71"/>
    <w:rsid w:val="00806027"/>
    <w:rsid w:val="00824B9C"/>
    <w:rsid w:val="008A7AD1"/>
    <w:rsid w:val="009B18D3"/>
    <w:rsid w:val="00AB0ED1"/>
    <w:rsid w:val="00B322AD"/>
    <w:rsid w:val="00C60BDE"/>
    <w:rsid w:val="00C76A7D"/>
    <w:rsid w:val="00CB60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9DBB84-CA1A-432A-82A0-C9A735A2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431F"/>
    <w:rPr>
      <w:lang w:val="sk-SK"/>
    </w:rPr>
  </w:style>
  <w:style w:type="paragraph" w:styleId="Nadpis1">
    <w:name w:val="heading 1"/>
    <w:basedOn w:val="Normlny"/>
    <w:next w:val="Normlny"/>
    <w:link w:val="Nadpis1Char"/>
    <w:uiPriority w:val="9"/>
    <w:qFormat/>
    <w:rsid w:val="00C60BDE"/>
    <w:pPr>
      <w:numPr>
        <w:numId w:val="2"/>
      </w:numPr>
      <w:spacing w:before="480" w:after="360"/>
      <w:contextualSpacing/>
      <w:outlineLvl w:val="0"/>
    </w:pPr>
    <w:rPr>
      <w:rFonts w:asciiTheme="majorHAnsi" w:eastAsiaTheme="majorEastAsia" w:hAnsiTheme="majorHAnsi" w:cstheme="majorBidi"/>
      <w:b/>
      <w:bCs/>
      <w:sz w:val="28"/>
      <w:szCs w:val="28"/>
    </w:rPr>
  </w:style>
  <w:style w:type="paragraph" w:styleId="Nadpis2">
    <w:name w:val="heading 2"/>
    <w:basedOn w:val="Normlny"/>
    <w:next w:val="Normlny"/>
    <w:link w:val="Nadpis2Char"/>
    <w:uiPriority w:val="9"/>
    <w:unhideWhenUsed/>
    <w:qFormat/>
    <w:rsid w:val="00C76A7D"/>
    <w:pPr>
      <w:numPr>
        <w:ilvl w:val="1"/>
        <w:numId w:val="2"/>
      </w:numPr>
      <w:spacing w:before="200" w:after="240"/>
      <w:outlineLvl w:val="1"/>
    </w:pPr>
    <w:rPr>
      <w:rFonts w:asciiTheme="majorHAnsi" w:eastAsiaTheme="majorEastAsia" w:hAnsiTheme="majorHAnsi" w:cstheme="majorBidi"/>
      <w:b/>
      <w:bCs/>
      <w:sz w:val="26"/>
      <w:szCs w:val="26"/>
    </w:rPr>
  </w:style>
  <w:style w:type="paragraph" w:styleId="Nadpis3">
    <w:name w:val="heading 3"/>
    <w:basedOn w:val="Normlny"/>
    <w:next w:val="Normlny"/>
    <w:link w:val="Nadpis3Char"/>
    <w:uiPriority w:val="9"/>
    <w:unhideWhenUsed/>
    <w:qFormat/>
    <w:rsid w:val="00C76A7D"/>
    <w:pPr>
      <w:numPr>
        <w:ilvl w:val="2"/>
        <w:numId w:val="2"/>
      </w:numPr>
      <w:spacing w:before="200" w:after="240" w:line="271" w:lineRule="auto"/>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semiHidden/>
    <w:unhideWhenUsed/>
    <w:qFormat/>
    <w:rsid w:val="0072431F"/>
    <w:pPr>
      <w:numPr>
        <w:ilvl w:val="3"/>
        <w:numId w:val="2"/>
      </w:numPr>
      <w:spacing w:before="200" w:after="0"/>
      <w:outlineLvl w:val="3"/>
    </w:pPr>
    <w:rPr>
      <w:rFonts w:asciiTheme="majorHAnsi" w:eastAsiaTheme="majorEastAsia" w:hAnsiTheme="majorHAnsi" w:cstheme="majorBidi"/>
      <w:b/>
      <w:bCs/>
      <w:i/>
      <w:iCs/>
    </w:rPr>
  </w:style>
  <w:style w:type="paragraph" w:styleId="Nadpis5">
    <w:name w:val="heading 5"/>
    <w:basedOn w:val="Normlny"/>
    <w:next w:val="Normlny"/>
    <w:link w:val="Nadpis5Char"/>
    <w:uiPriority w:val="9"/>
    <w:semiHidden/>
    <w:unhideWhenUsed/>
    <w:qFormat/>
    <w:rsid w:val="0072431F"/>
    <w:pPr>
      <w:numPr>
        <w:ilvl w:val="4"/>
        <w:numId w:val="2"/>
      </w:num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y"/>
    <w:next w:val="Normlny"/>
    <w:link w:val="Nadpis6Char"/>
    <w:uiPriority w:val="9"/>
    <w:semiHidden/>
    <w:unhideWhenUsed/>
    <w:qFormat/>
    <w:rsid w:val="0072431F"/>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y"/>
    <w:next w:val="Normlny"/>
    <w:link w:val="Nadpis7Char"/>
    <w:uiPriority w:val="9"/>
    <w:semiHidden/>
    <w:unhideWhenUsed/>
    <w:qFormat/>
    <w:rsid w:val="0072431F"/>
    <w:pPr>
      <w:numPr>
        <w:ilvl w:val="6"/>
        <w:numId w:val="2"/>
      </w:numPr>
      <w:spacing w:after="0"/>
      <w:outlineLvl w:val="6"/>
    </w:pPr>
    <w:rPr>
      <w:rFonts w:asciiTheme="majorHAnsi" w:eastAsiaTheme="majorEastAsia" w:hAnsiTheme="majorHAnsi" w:cstheme="majorBidi"/>
      <w:i/>
      <w:iCs/>
    </w:rPr>
  </w:style>
  <w:style w:type="paragraph" w:styleId="Nadpis8">
    <w:name w:val="heading 8"/>
    <w:basedOn w:val="Normlny"/>
    <w:next w:val="Normlny"/>
    <w:link w:val="Nadpis8Char"/>
    <w:uiPriority w:val="9"/>
    <w:semiHidden/>
    <w:unhideWhenUsed/>
    <w:qFormat/>
    <w:rsid w:val="0072431F"/>
    <w:pPr>
      <w:numPr>
        <w:ilvl w:val="7"/>
        <w:numId w:val="2"/>
      </w:numPr>
      <w:spacing w:after="0"/>
      <w:outlineLvl w:val="7"/>
    </w:pPr>
    <w:rPr>
      <w:rFonts w:asciiTheme="majorHAnsi" w:eastAsiaTheme="majorEastAsia" w:hAnsiTheme="majorHAnsi" w:cstheme="majorBidi"/>
      <w:sz w:val="20"/>
      <w:szCs w:val="20"/>
    </w:rPr>
  </w:style>
  <w:style w:type="paragraph" w:styleId="Nadpis9">
    <w:name w:val="heading 9"/>
    <w:basedOn w:val="Normlny"/>
    <w:next w:val="Normlny"/>
    <w:link w:val="Nadpis9Char"/>
    <w:uiPriority w:val="9"/>
    <w:semiHidden/>
    <w:unhideWhenUsed/>
    <w:qFormat/>
    <w:rsid w:val="0072431F"/>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rsid w:val="009B18D3"/>
    <w:pPr>
      <w:tabs>
        <w:tab w:val="center" w:pos="4536"/>
        <w:tab w:val="right" w:pos="9072"/>
      </w:tabs>
    </w:pPr>
  </w:style>
  <w:style w:type="paragraph" w:styleId="Zkladntext2">
    <w:name w:val="Body Text 2"/>
    <w:basedOn w:val="Normlny"/>
    <w:semiHidden/>
    <w:rsid w:val="009B18D3"/>
    <w:pPr>
      <w:spacing w:line="360" w:lineRule="auto"/>
      <w:jc w:val="both"/>
    </w:pPr>
  </w:style>
  <w:style w:type="character" w:customStyle="1" w:styleId="Nadpis1Char">
    <w:name w:val="Nadpis 1 Char"/>
    <w:basedOn w:val="Predvolenpsmoodseku"/>
    <w:link w:val="Nadpis1"/>
    <w:uiPriority w:val="9"/>
    <w:rsid w:val="00C60BDE"/>
    <w:rPr>
      <w:rFonts w:asciiTheme="majorHAnsi" w:eastAsiaTheme="majorEastAsia" w:hAnsiTheme="majorHAnsi" w:cstheme="majorBidi"/>
      <w:b/>
      <w:bCs/>
      <w:sz w:val="28"/>
      <w:szCs w:val="28"/>
      <w:lang w:val="sk-SK"/>
    </w:rPr>
  </w:style>
  <w:style w:type="character" w:customStyle="1" w:styleId="Nadpis2Char">
    <w:name w:val="Nadpis 2 Char"/>
    <w:basedOn w:val="Predvolenpsmoodseku"/>
    <w:link w:val="Nadpis2"/>
    <w:uiPriority w:val="9"/>
    <w:rsid w:val="00C76A7D"/>
    <w:rPr>
      <w:rFonts w:asciiTheme="majorHAnsi" w:eastAsiaTheme="majorEastAsia" w:hAnsiTheme="majorHAnsi" w:cstheme="majorBidi"/>
      <w:b/>
      <w:bCs/>
      <w:sz w:val="26"/>
      <w:szCs w:val="26"/>
      <w:lang w:val="sk-SK"/>
    </w:rPr>
  </w:style>
  <w:style w:type="character" w:customStyle="1" w:styleId="Nadpis3Char">
    <w:name w:val="Nadpis 3 Char"/>
    <w:basedOn w:val="Predvolenpsmoodseku"/>
    <w:link w:val="Nadpis3"/>
    <w:uiPriority w:val="9"/>
    <w:rsid w:val="00C76A7D"/>
    <w:rPr>
      <w:rFonts w:asciiTheme="majorHAnsi" w:eastAsiaTheme="majorEastAsia" w:hAnsiTheme="majorHAnsi" w:cstheme="majorBidi"/>
      <w:b/>
      <w:bCs/>
      <w:lang w:val="sk-SK"/>
    </w:rPr>
  </w:style>
  <w:style w:type="character" w:customStyle="1" w:styleId="Nadpis4Char">
    <w:name w:val="Nadpis 4 Char"/>
    <w:basedOn w:val="Predvolenpsmoodseku"/>
    <w:link w:val="Nadpis4"/>
    <w:uiPriority w:val="9"/>
    <w:semiHidden/>
    <w:rsid w:val="0072431F"/>
    <w:rPr>
      <w:rFonts w:asciiTheme="majorHAnsi" w:eastAsiaTheme="majorEastAsia" w:hAnsiTheme="majorHAnsi" w:cstheme="majorBidi"/>
      <w:b/>
      <w:bCs/>
      <w:i/>
      <w:iCs/>
      <w:lang w:val="sk-SK"/>
    </w:rPr>
  </w:style>
  <w:style w:type="character" w:customStyle="1" w:styleId="Nadpis5Char">
    <w:name w:val="Nadpis 5 Char"/>
    <w:basedOn w:val="Predvolenpsmoodseku"/>
    <w:link w:val="Nadpis5"/>
    <w:uiPriority w:val="9"/>
    <w:semiHidden/>
    <w:rsid w:val="0072431F"/>
    <w:rPr>
      <w:rFonts w:asciiTheme="majorHAnsi" w:eastAsiaTheme="majorEastAsia" w:hAnsiTheme="majorHAnsi" w:cstheme="majorBidi"/>
      <w:b/>
      <w:bCs/>
      <w:color w:val="7F7F7F" w:themeColor="text1" w:themeTint="80"/>
      <w:lang w:val="sk-SK"/>
    </w:rPr>
  </w:style>
  <w:style w:type="character" w:customStyle="1" w:styleId="Nadpis6Char">
    <w:name w:val="Nadpis 6 Char"/>
    <w:basedOn w:val="Predvolenpsmoodseku"/>
    <w:link w:val="Nadpis6"/>
    <w:uiPriority w:val="9"/>
    <w:semiHidden/>
    <w:rsid w:val="0072431F"/>
    <w:rPr>
      <w:rFonts w:asciiTheme="majorHAnsi" w:eastAsiaTheme="majorEastAsia" w:hAnsiTheme="majorHAnsi" w:cstheme="majorBidi"/>
      <w:b/>
      <w:bCs/>
      <w:i/>
      <w:iCs/>
      <w:color w:val="7F7F7F" w:themeColor="text1" w:themeTint="80"/>
      <w:lang w:val="sk-SK"/>
    </w:rPr>
  </w:style>
  <w:style w:type="character" w:customStyle="1" w:styleId="Nadpis7Char">
    <w:name w:val="Nadpis 7 Char"/>
    <w:basedOn w:val="Predvolenpsmoodseku"/>
    <w:link w:val="Nadpis7"/>
    <w:uiPriority w:val="9"/>
    <w:semiHidden/>
    <w:rsid w:val="0072431F"/>
    <w:rPr>
      <w:rFonts w:asciiTheme="majorHAnsi" w:eastAsiaTheme="majorEastAsia" w:hAnsiTheme="majorHAnsi" w:cstheme="majorBidi"/>
      <w:i/>
      <w:iCs/>
      <w:lang w:val="sk-SK"/>
    </w:rPr>
  </w:style>
  <w:style w:type="character" w:customStyle="1" w:styleId="Nadpis8Char">
    <w:name w:val="Nadpis 8 Char"/>
    <w:basedOn w:val="Predvolenpsmoodseku"/>
    <w:link w:val="Nadpis8"/>
    <w:uiPriority w:val="9"/>
    <w:semiHidden/>
    <w:rsid w:val="0072431F"/>
    <w:rPr>
      <w:rFonts w:asciiTheme="majorHAnsi" w:eastAsiaTheme="majorEastAsia" w:hAnsiTheme="majorHAnsi" w:cstheme="majorBidi"/>
      <w:sz w:val="20"/>
      <w:szCs w:val="20"/>
      <w:lang w:val="sk-SK"/>
    </w:rPr>
  </w:style>
  <w:style w:type="character" w:customStyle="1" w:styleId="Nadpis9Char">
    <w:name w:val="Nadpis 9 Char"/>
    <w:basedOn w:val="Predvolenpsmoodseku"/>
    <w:link w:val="Nadpis9"/>
    <w:uiPriority w:val="9"/>
    <w:semiHidden/>
    <w:rsid w:val="0072431F"/>
    <w:rPr>
      <w:rFonts w:asciiTheme="majorHAnsi" w:eastAsiaTheme="majorEastAsia" w:hAnsiTheme="majorHAnsi" w:cstheme="majorBidi"/>
      <w:i/>
      <w:iCs/>
      <w:spacing w:val="5"/>
      <w:sz w:val="20"/>
      <w:szCs w:val="20"/>
      <w:lang w:val="sk-SK"/>
    </w:rPr>
  </w:style>
  <w:style w:type="paragraph" w:styleId="Nzov">
    <w:name w:val="Title"/>
    <w:basedOn w:val="Normlny"/>
    <w:next w:val="Normlny"/>
    <w:link w:val="NzovChar"/>
    <w:uiPriority w:val="10"/>
    <w:qFormat/>
    <w:rsid w:val="007243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ovChar">
    <w:name w:val="Názov Char"/>
    <w:basedOn w:val="Predvolenpsmoodseku"/>
    <w:link w:val="Nzov"/>
    <w:uiPriority w:val="10"/>
    <w:rsid w:val="0072431F"/>
    <w:rPr>
      <w:rFonts w:asciiTheme="majorHAnsi" w:eastAsiaTheme="majorEastAsia" w:hAnsiTheme="majorHAnsi" w:cstheme="majorBidi"/>
      <w:spacing w:val="5"/>
      <w:sz w:val="52"/>
      <w:szCs w:val="52"/>
    </w:rPr>
  </w:style>
  <w:style w:type="paragraph" w:styleId="Podtitul">
    <w:name w:val="Subtitle"/>
    <w:basedOn w:val="Normlny"/>
    <w:next w:val="Normlny"/>
    <w:link w:val="PodtitulChar"/>
    <w:uiPriority w:val="11"/>
    <w:qFormat/>
    <w:rsid w:val="0072431F"/>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Predvolenpsmoodseku"/>
    <w:link w:val="Podtitul"/>
    <w:uiPriority w:val="11"/>
    <w:rsid w:val="0072431F"/>
    <w:rPr>
      <w:rFonts w:asciiTheme="majorHAnsi" w:eastAsiaTheme="majorEastAsia" w:hAnsiTheme="majorHAnsi" w:cstheme="majorBidi"/>
      <w:i/>
      <w:iCs/>
      <w:spacing w:val="13"/>
      <w:sz w:val="24"/>
      <w:szCs w:val="24"/>
    </w:rPr>
  </w:style>
  <w:style w:type="character" w:styleId="Siln">
    <w:name w:val="Strong"/>
    <w:uiPriority w:val="22"/>
    <w:qFormat/>
    <w:rsid w:val="0072431F"/>
    <w:rPr>
      <w:b/>
      <w:bCs/>
    </w:rPr>
  </w:style>
  <w:style w:type="character" w:styleId="Zvraznenie">
    <w:name w:val="Emphasis"/>
    <w:uiPriority w:val="20"/>
    <w:qFormat/>
    <w:rsid w:val="0072431F"/>
    <w:rPr>
      <w:b/>
      <w:bCs/>
      <w:i/>
      <w:iCs/>
      <w:spacing w:val="10"/>
      <w:bdr w:val="none" w:sz="0" w:space="0" w:color="auto"/>
      <w:shd w:val="clear" w:color="auto" w:fill="auto"/>
    </w:rPr>
  </w:style>
  <w:style w:type="paragraph" w:styleId="Bezriadkovania">
    <w:name w:val="No Spacing"/>
    <w:basedOn w:val="Normlny"/>
    <w:link w:val="BezriadkovaniaChar"/>
    <w:uiPriority w:val="1"/>
    <w:qFormat/>
    <w:rsid w:val="0072431F"/>
    <w:pPr>
      <w:spacing w:after="0" w:line="240" w:lineRule="auto"/>
    </w:pPr>
  </w:style>
  <w:style w:type="paragraph" w:styleId="Odsekzoznamu">
    <w:name w:val="List Paragraph"/>
    <w:basedOn w:val="Normlny"/>
    <w:uiPriority w:val="34"/>
    <w:qFormat/>
    <w:rsid w:val="0072431F"/>
    <w:pPr>
      <w:ind w:left="720"/>
      <w:contextualSpacing/>
    </w:pPr>
  </w:style>
  <w:style w:type="paragraph" w:styleId="Citcia">
    <w:name w:val="Quote"/>
    <w:basedOn w:val="Normlny"/>
    <w:next w:val="Normlny"/>
    <w:link w:val="CitciaChar"/>
    <w:uiPriority w:val="29"/>
    <w:qFormat/>
    <w:rsid w:val="0072431F"/>
    <w:pPr>
      <w:spacing w:before="200" w:after="0"/>
      <w:ind w:left="360" w:right="360"/>
    </w:pPr>
    <w:rPr>
      <w:i/>
      <w:iCs/>
    </w:rPr>
  </w:style>
  <w:style w:type="character" w:customStyle="1" w:styleId="CitciaChar">
    <w:name w:val="Citácia Char"/>
    <w:basedOn w:val="Predvolenpsmoodseku"/>
    <w:link w:val="Citcia"/>
    <w:uiPriority w:val="29"/>
    <w:rsid w:val="0072431F"/>
    <w:rPr>
      <w:i/>
      <w:iCs/>
    </w:rPr>
  </w:style>
  <w:style w:type="paragraph" w:styleId="Zvraznencitcia">
    <w:name w:val="Intense Quote"/>
    <w:basedOn w:val="Normlny"/>
    <w:next w:val="Normlny"/>
    <w:link w:val="ZvraznencitciaChar"/>
    <w:uiPriority w:val="30"/>
    <w:qFormat/>
    <w:rsid w:val="0072431F"/>
    <w:pPr>
      <w:pBdr>
        <w:bottom w:val="single" w:sz="4" w:space="1" w:color="auto"/>
      </w:pBdr>
      <w:spacing w:before="200" w:after="280"/>
      <w:ind w:left="1008" w:right="1152"/>
      <w:jc w:val="both"/>
    </w:pPr>
    <w:rPr>
      <w:b/>
      <w:bCs/>
      <w:i/>
      <w:iCs/>
    </w:rPr>
  </w:style>
  <w:style w:type="character" w:customStyle="1" w:styleId="ZvraznencitciaChar">
    <w:name w:val="Zvýraznená citácia Char"/>
    <w:basedOn w:val="Predvolenpsmoodseku"/>
    <w:link w:val="Zvraznencitcia"/>
    <w:uiPriority w:val="30"/>
    <w:rsid w:val="0072431F"/>
    <w:rPr>
      <w:b/>
      <w:bCs/>
      <w:i/>
      <w:iCs/>
    </w:rPr>
  </w:style>
  <w:style w:type="character" w:styleId="Jemnzvraznenie">
    <w:name w:val="Subtle Emphasis"/>
    <w:uiPriority w:val="19"/>
    <w:qFormat/>
    <w:rsid w:val="0072431F"/>
    <w:rPr>
      <w:i/>
      <w:iCs/>
    </w:rPr>
  </w:style>
  <w:style w:type="character" w:styleId="Intenzvnezvraznenie">
    <w:name w:val="Intense Emphasis"/>
    <w:uiPriority w:val="21"/>
    <w:qFormat/>
    <w:rsid w:val="0072431F"/>
    <w:rPr>
      <w:b/>
      <w:bCs/>
    </w:rPr>
  </w:style>
  <w:style w:type="character" w:styleId="Jemnodkaz">
    <w:name w:val="Subtle Reference"/>
    <w:uiPriority w:val="31"/>
    <w:qFormat/>
    <w:rsid w:val="0072431F"/>
    <w:rPr>
      <w:smallCaps/>
    </w:rPr>
  </w:style>
  <w:style w:type="character" w:styleId="Intenzvnyodkaz">
    <w:name w:val="Intense Reference"/>
    <w:uiPriority w:val="32"/>
    <w:qFormat/>
    <w:rsid w:val="0072431F"/>
    <w:rPr>
      <w:smallCaps/>
      <w:spacing w:val="5"/>
      <w:u w:val="single"/>
    </w:rPr>
  </w:style>
  <w:style w:type="character" w:styleId="Nzovknihy">
    <w:name w:val="Book Title"/>
    <w:uiPriority w:val="33"/>
    <w:qFormat/>
    <w:rsid w:val="0072431F"/>
    <w:rPr>
      <w:i/>
      <w:iCs/>
      <w:smallCaps/>
      <w:spacing w:val="5"/>
    </w:rPr>
  </w:style>
  <w:style w:type="paragraph" w:styleId="Hlavikaobsahu">
    <w:name w:val="TOC Heading"/>
    <w:basedOn w:val="Nadpis1"/>
    <w:next w:val="Normlny"/>
    <w:uiPriority w:val="39"/>
    <w:semiHidden/>
    <w:unhideWhenUsed/>
    <w:qFormat/>
    <w:rsid w:val="0072431F"/>
    <w:pPr>
      <w:outlineLvl w:val="9"/>
    </w:pPr>
  </w:style>
  <w:style w:type="character" w:customStyle="1" w:styleId="BezriadkovaniaChar">
    <w:name w:val="Bez riadkovania Char"/>
    <w:basedOn w:val="Predvolenpsmoodseku"/>
    <w:link w:val="Bezriadkovania"/>
    <w:uiPriority w:val="1"/>
    <w:rsid w:val="001F049F"/>
    <w:rPr>
      <w:lang w:val="sk-SK"/>
    </w:rPr>
  </w:style>
  <w:style w:type="paragraph" w:styleId="Textbubliny">
    <w:name w:val="Balloon Text"/>
    <w:basedOn w:val="Normlny"/>
    <w:link w:val="TextbublinyChar"/>
    <w:uiPriority w:val="99"/>
    <w:semiHidden/>
    <w:unhideWhenUsed/>
    <w:rsid w:val="001F04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F049F"/>
    <w:rPr>
      <w:rFonts w:ascii="Tahoma" w:hAnsi="Tahoma" w:cs="Tahoma"/>
      <w:sz w:val="16"/>
      <w:szCs w:val="16"/>
      <w:lang w:val="sk-SK"/>
    </w:rPr>
  </w:style>
  <w:style w:type="paragraph" w:styleId="Pta">
    <w:name w:val="footer"/>
    <w:basedOn w:val="Normlny"/>
    <w:link w:val="PtaChar"/>
    <w:uiPriority w:val="99"/>
    <w:unhideWhenUsed/>
    <w:rsid w:val="002E7754"/>
    <w:pPr>
      <w:tabs>
        <w:tab w:val="center" w:pos="4536"/>
        <w:tab w:val="right" w:pos="9072"/>
      </w:tabs>
      <w:spacing w:after="0" w:line="240" w:lineRule="auto"/>
    </w:pPr>
  </w:style>
  <w:style w:type="character" w:customStyle="1" w:styleId="PtaChar">
    <w:name w:val="Päta Char"/>
    <w:basedOn w:val="Predvolenpsmoodseku"/>
    <w:link w:val="Pta"/>
    <w:uiPriority w:val="99"/>
    <w:rsid w:val="002E7754"/>
    <w:rPr>
      <w:lang w:val="sk-SK"/>
    </w:rPr>
  </w:style>
  <w:style w:type="paragraph" w:styleId="Obsah1">
    <w:name w:val="toc 1"/>
    <w:basedOn w:val="Normlny"/>
    <w:next w:val="Normlny"/>
    <w:autoRedefine/>
    <w:uiPriority w:val="39"/>
    <w:unhideWhenUsed/>
    <w:rsid w:val="002E7754"/>
    <w:pPr>
      <w:spacing w:after="100"/>
    </w:pPr>
  </w:style>
  <w:style w:type="paragraph" w:styleId="Obsah2">
    <w:name w:val="toc 2"/>
    <w:basedOn w:val="Normlny"/>
    <w:next w:val="Normlny"/>
    <w:autoRedefine/>
    <w:uiPriority w:val="39"/>
    <w:unhideWhenUsed/>
    <w:rsid w:val="002E7754"/>
    <w:pPr>
      <w:spacing w:after="100"/>
      <w:ind w:left="220"/>
    </w:pPr>
  </w:style>
  <w:style w:type="paragraph" w:styleId="Obsah3">
    <w:name w:val="toc 3"/>
    <w:basedOn w:val="Normlny"/>
    <w:next w:val="Normlny"/>
    <w:autoRedefine/>
    <w:uiPriority w:val="39"/>
    <w:unhideWhenUsed/>
    <w:rsid w:val="002E7754"/>
    <w:pPr>
      <w:spacing w:after="100"/>
      <w:ind w:left="440"/>
    </w:pPr>
  </w:style>
  <w:style w:type="character" w:styleId="Hypertextovprepojenie">
    <w:name w:val="Hyperlink"/>
    <w:basedOn w:val="Predvolenpsmoodseku"/>
    <w:uiPriority w:val="99"/>
    <w:unhideWhenUsed/>
    <w:rsid w:val="002E7754"/>
    <w:rPr>
      <w:color w:val="D2611C" w:themeColor="hyperlink"/>
      <w:u w:val="single"/>
    </w:rPr>
  </w:style>
  <w:style w:type="table" w:styleId="Mriekatabuky">
    <w:name w:val="Table Grid"/>
    <w:basedOn w:val="Normlnatabuka"/>
    <w:uiPriority w:val="59"/>
    <w:rsid w:val="006C2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rsid w:val="006C2CB3"/>
    <w:pPr>
      <w:spacing w:line="240" w:lineRule="auto"/>
    </w:pPr>
    <w:rPr>
      <w:b/>
      <w:bCs/>
      <w:color w:val="FE8637"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rkýř">
  <a:themeElements>
    <a:clrScheme name="Arkýř">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rkýř">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E4554-E911-49DD-A0AA-45347E81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1221</Words>
  <Characters>6964</Characters>
  <Application>Microsoft Office Word</Application>
  <DocSecurity>0</DocSecurity>
  <Lines>58</Lines>
  <Paragraphs>16</Paragraphs>
  <ScaleCrop>false</ScaleCrop>
  <HeadingPairs>
    <vt:vector size="6" baseType="variant">
      <vt:variant>
        <vt:lpstr>Názov</vt:lpstr>
      </vt:variant>
      <vt:variant>
        <vt:i4>1</vt:i4>
      </vt:variant>
      <vt:variant>
        <vt:lpstr>Nadpisy</vt:lpstr>
      </vt:variant>
      <vt:variant>
        <vt:i4>10</vt:i4>
      </vt:variant>
      <vt:variant>
        <vt:lpstr>Název</vt:lpstr>
      </vt:variant>
      <vt:variant>
        <vt:i4>1</vt:i4>
      </vt:variant>
    </vt:vector>
  </HeadingPairs>
  <TitlesOfParts>
    <vt:vector size="12" baseType="lpstr">
      <vt:lpstr>Európsky menový systém</vt:lpstr>
      <vt:lpstr>Európsky menový systém</vt:lpstr>
      <vt:lpstr>    Bratislava </vt:lpstr>
      <vt:lpstr>Európska menová únia</vt:lpstr>
      <vt:lpstr>    Charakteristika hospodárskej a menovej únie (HMÚ)</vt:lpstr>
      <vt:lpstr>        Vznik HMÚ</vt:lpstr>
      <vt:lpstr>        Zakladateľské krajiny (11) </vt:lpstr>
      <vt:lpstr>    Ciele</vt:lpstr>
      <vt:lpstr>    Nástroje</vt:lpstr>
      <vt:lpstr>História vzniku HMÚ</vt:lpstr>
      <vt:lpstr>    Charakteristika jednotlivých etáp</vt:lpstr>
      <vt:lpstr>Európsky menový systém</vt:lpstr>
    </vt:vector>
  </TitlesOfParts>
  <Company>EU</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Európsky menový systém</dc:title>
  <dc:creator>Kopačková</dc:creator>
  <cp:lastModifiedBy>xxx</cp:lastModifiedBy>
  <cp:revision>10</cp:revision>
  <dcterms:created xsi:type="dcterms:W3CDTF">2012-09-28T10:18:00Z</dcterms:created>
  <dcterms:modified xsi:type="dcterms:W3CDTF">2014-11-20T19:07:00Z</dcterms:modified>
</cp:coreProperties>
</file>